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43" w:rsidRDefault="00FB4C78">
      <w:pPr>
        <w:rPr>
          <w:rFonts w:hint="eastAsia"/>
        </w:rPr>
      </w:pPr>
      <w:r>
        <w:t>虽然没有</w:t>
      </w:r>
      <w:r>
        <w:rPr>
          <w:rFonts w:hint="eastAsia"/>
        </w:rPr>
        <w:t>IOS版本，</w:t>
      </w:r>
      <w:proofErr w:type="gramStart"/>
      <w:r>
        <w:rPr>
          <w:rFonts w:hint="eastAsia"/>
        </w:rPr>
        <w:t>但是官网给出</w:t>
      </w:r>
      <w:proofErr w:type="gramEnd"/>
      <w:r>
        <w:rPr>
          <w:rFonts w:hint="eastAsia"/>
        </w:rPr>
        <w:t>的操作建议如下：</w:t>
      </w:r>
    </w:p>
    <w:p w:rsidR="00FB4C78" w:rsidRPr="00FB4C78" w:rsidRDefault="00FB4C78" w:rsidP="00FB4C78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FB4C78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关于IOS或其他平台的使用</w:t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   皎月连目前只发布了windows、安卓和</w:t>
      </w:r>
      <w:proofErr w:type="spellStart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linux</w:t>
      </w:r>
      <w:proofErr w:type="spellEnd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等平台版本。针对其他平台（如IOS）的使用方法这里统一给出说明：</w:t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 这里以IOS平台为例但不仅限于IOS平台，使用皎月连的</w:t>
      </w:r>
      <w:r w:rsidRPr="00FB4C78">
        <w:rPr>
          <w:rFonts w:ascii="宋体" w:eastAsia="宋体" w:hAnsi="宋体" w:cs="宋体" w:hint="eastAsia"/>
          <w:color w:val="F79646"/>
          <w:kern w:val="0"/>
          <w:sz w:val="27"/>
          <w:szCs w:val="27"/>
        </w:rPr>
        <w:t>端口映射模式</w:t>
      </w: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，连接方式参照下图：</w:t>
      </w: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br/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 </w:t>
      </w:r>
      <w:bookmarkStart w:id="0" w:name="_GoBack"/>
      <w:r>
        <w:rPr>
          <w:rFonts w:ascii="宋体" w:eastAsia="宋体" w:hAnsi="宋体" w:cs="宋体"/>
          <w:noProof/>
          <w:color w:val="666666"/>
          <w:kern w:val="0"/>
          <w:sz w:val="27"/>
          <w:szCs w:val="27"/>
        </w:rPr>
        <w:drawing>
          <wp:inline distT="0" distB="0" distL="0" distR="0">
            <wp:extent cx="4474416" cy="4921858"/>
            <wp:effectExtent l="0" t="0" r="2540" b="0"/>
            <wp:docPr id="1" name="图片 1" descr="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48" cy="492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由图中可见，苹果手机并不需要安装</w:t>
      </w:r>
      <w:proofErr w:type="gramStart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皎月连即可以</w:t>
      </w:r>
      <w:proofErr w:type="gramEnd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桥接方式实现穿透。具体方式就是通过局域网IP和映射过来的远程端口进行访问。</w:t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lastRenderedPageBreak/>
        <w:t>以远程moonlight</w:t>
      </w:r>
      <w:proofErr w:type="gramStart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串流为例</w:t>
      </w:r>
      <w:proofErr w:type="gramEnd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，“家里的电脑”需要添加以下</w:t>
      </w:r>
      <w:r w:rsidRPr="00FB4C78">
        <w:rPr>
          <w:rFonts w:ascii="宋体" w:eastAsia="宋体" w:hAnsi="宋体" w:cs="宋体" w:hint="eastAsia"/>
          <w:color w:val="FF0000"/>
          <w:kern w:val="0"/>
          <w:sz w:val="27"/>
          <w:szCs w:val="27"/>
        </w:rPr>
        <w:t>7条端口映射：</w:t>
      </w: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br/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3"/>
        <w:gridCol w:w="1667"/>
        <w:gridCol w:w="1667"/>
        <w:gridCol w:w="1667"/>
        <w:gridCol w:w="1682"/>
      </w:tblGrid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映射名称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局域网IP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本地端口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协议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远程端口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47984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TCP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47984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47989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TCP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47989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48010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TCP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48010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47998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0070C0"/>
                <w:kern w:val="0"/>
                <w:sz w:val="24"/>
                <w:szCs w:val="24"/>
              </w:rPr>
              <w:t>UDP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47998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47999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0070C0"/>
                <w:kern w:val="0"/>
                <w:sz w:val="24"/>
                <w:szCs w:val="24"/>
              </w:rPr>
              <w:t>UDP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47999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48000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0070C0"/>
                <w:kern w:val="0"/>
                <w:sz w:val="24"/>
                <w:szCs w:val="24"/>
              </w:rPr>
              <w:t>UDP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48000</w:t>
            </w:r>
          </w:p>
        </w:tc>
      </w:tr>
      <w:tr w:rsidR="00FB4C78" w:rsidRPr="00FB4C78" w:rsidTr="00FB4C78">
        <w:trPr>
          <w:tblCellSpacing w:w="15" w:type="dxa"/>
        </w:trPr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串流</w:t>
            </w:r>
            <w:proofErr w:type="gramEnd"/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127.0.0.1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48010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color w:val="0070C0"/>
                <w:kern w:val="0"/>
                <w:sz w:val="24"/>
                <w:szCs w:val="24"/>
              </w:rPr>
              <w:t>UDP</w:t>
            </w:r>
          </w:p>
        </w:tc>
        <w:tc>
          <w:tcPr>
            <w:tcW w:w="1935" w:type="dxa"/>
            <w:hideMark/>
          </w:tcPr>
          <w:p w:rsidR="00FB4C78" w:rsidRPr="00FB4C78" w:rsidRDefault="00FB4C78" w:rsidP="00FB4C78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4C78">
              <w:rPr>
                <w:rFonts w:ascii="宋体" w:eastAsia="宋体" w:hAnsi="宋体" w:cs="宋体"/>
                <w:kern w:val="0"/>
                <w:sz w:val="24"/>
                <w:szCs w:val="24"/>
              </w:rPr>
              <w:t>48010</w:t>
            </w:r>
          </w:p>
        </w:tc>
      </w:tr>
    </w:tbl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注：</w:t>
      </w:r>
      <w:r w:rsidRPr="00FB4C78">
        <w:rPr>
          <w:rFonts w:ascii="宋体" w:eastAsia="宋体" w:hAnsi="宋体" w:cs="宋体" w:hint="eastAsia"/>
          <w:b/>
          <w:bCs/>
          <w:color w:val="666666"/>
          <w:kern w:val="0"/>
          <w:sz w:val="27"/>
          <w:szCs w:val="27"/>
        </w:rPr>
        <w:t>若环境中没有电脑主机怎么办？</w:t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可使用安卓设备共享的WIFI热点建立局域网，后续操作与图中原理一样，只是把图中“电脑3”替换为安卓设备。</w:t>
      </w:r>
    </w:p>
    <w:p w:rsidR="00FB4C78" w:rsidRPr="00FB4C78" w:rsidRDefault="00FB4C78" w:rsidP="00FB4C78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若有其他问题，欢迎加</w:t>
      </w:r>
      <w:proofErr w:type="spellStart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qq</w:t>
      </w:r>
      <w:proofErr w:type="spellEnd"/>
      <w:r w:rsidRPr="00FB4C78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群376940436讨论。</w:t>
      </w:r>
    </w:p>
    <w:p w:rsidR="00FB4C78" w:rsidRPr="00FB4C78" w:rsidRDefault="00FB4C78"/>
    <w:sectPr w:rsidR="00FB4C78" w:rsidRPr="00FB4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29" w:rsidRDefault="004D4229" w:rsidP="00FB4C78">
      <w:r>
        <w:separator/>
      </w:r>
    </w:p>
  </w:endnote>
  <w:endnote w:type="continuationSeparator" w:id="0">
    <w:p w:rsidR="004D4229" w:rsidRDefault="004D4229" w:rsidP="00FB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29" w:rsidRDefault="004D4229" w:rsidP="00FB4C78">
      <w:r>
        <w:separator/>
      </w:r>
    </w:p>
  </w:footnote>
  <w:footnote w:type="continuationSeparator" w:id="0">
    <w:p w:rsidR="004D4229" w:rsidRDefault="004D4229" w:rsidP="00FB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32"/>
    <w:rsid w:val="00353443"/>
    <w:rsid w:val="004D4229"/>
    <w:rsid w:val="00D11932"/>
    <w:rsid w:val="00E47DDA"/>
    <w:rsid w:val="00FB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4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4C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4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4C7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B4C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B4C78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FB4C7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B4C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4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4C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4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4C7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B4C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B4C78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FB4C7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B4C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EAEAEA"/>
            <w:right w:val="none" w:sz="0" w:space="0" w:color="auto"/>
          </w:divBdr>
        </w:div>
        <w:div w:id="9808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OK-pat</dc:creator>
  <cp:keywords/>
  <dc:description/>
  <cp:lastModifiedBy>OK-pat</cp:lastModifiedBy>
  <cp:revision>2</cp:revision>
  <dcterms:created xsi:type="dcterms:W3CDTF">2025-06-04T06:33:00Z</dcterms:created>
  <dcterms:modified xsi:type="dcterms:W3CDTF">2025-06-04T06:34:00Z</dcterms:modified>
</cp:coreProperties>
</file>